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ascii="方正小标宋简体" w:hAnsi="华文中宋" w:eastAsia="方正小标宋简体" w:cs="华文中宋"/>
          <w:bCs/>
          <w:kern w:val="0"/>
          <w:sz w:val="42"/>
          <w:szCs w:val="42"/>
        </w:rPr>
      </w:pPr>
      <w:bookmarkStart w:id="0" w:name="_Hlk532888964"/>
      <w:r>
        <w:rPr>
          <w:rFonts w:hint="eastAsia" w:ascii="方正小标宋简体" w:hAnsi="华文中宋" w:eastAsia="方正小标宋简体" w:cs="华文中宋"/>
          <w:bCs/>
          <w:kern w:val="0"/>
          <w:sz w:val="42"/>
          <w:szCs w:val="42"/>
          <w:lang w:eastAsia="zh-CN"/>
        </w:rPr>
        <w:t>桂林市</w:t>
      </w:r>
      <w:r>
        <w:rPr>
          <w:rFonts w:hint="eastAsia" w:ascii="方正小标宋简体" w:hAnsi="华文中宋" w:eastAsia="方正小标宋简体" w:cs="华文中宋"/>
          <w:bCs/>
          <w:kern w:val="0"/>
          <w:sz w:val="42"/>
          <w:szCs w:val="42"/>
        </w:rPr>
        <w:t>水利局重大水行政执法决定</w:t>
      </w:r>
    </w:p>
    <w:p>
      <w:pPr>
        <w:widowControl/>
        <w:spacing w:line="560" w:lineRule="exact"/>
        <w:jc w:val="center"/>
        <w:rPr>
          <w:rFonts w:ascii="方正小标宋简体" w:hAnsi="华文中宋" w:eastAsia="方正小标宋简体" w:cs="华文中宋"/>
          <w:bCs/>
          <w:kern w:val="0"/>
          <w:sz w:val="42"/>
          <w:szCs w:val="42"/>
        </w:rPr>
      </w:pPr>
      <w:r>
        <w:rPr>
          <w:rFonts w:hint="eastAsia" w:ascii="方正小标宋简体" w:hAnsi="华文中宋" w:eastAsia="方正小标宋简体" w:cs="华文中宋"/>
          <w:bCs/>
          <w:kern w:val="0"/>
          <w:sz w:val="42"/>
          <w:szCs w:val="42"/>
        </w:rPr>
        <w:t>法制审核制度</w:t>
      </w:r>
    </w:p>
    <w:bookmarkEnd w:id="0"/>
    <w:p>
      <w:pPr>
        <w:widowControl/>
        <w:spacing w:line="560" w:lineRule="exact"/>
        <w:ind w:firstLine="640" w:firstLineChars="200"/>
        <w:rPr>
          <w:rFonts w:ascii="仿宋" w:hAnsi="Arial" w:eastAsia="仿宋" w:cs="Arial"/>
          <w:color w:val="000000"/>
          <w:kern w:val="0"/>
          <w:sz w:val="32"/>
          <w:szCs w:val="32"/>
        </w:rPr>
      </w:pP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第一条</w:t>
      </w:r>
      <w:r>
        <w:rPr>
          <w:rFonts w:hint="eastAsia" w:ascii="仿宋_GB2312" w:hAnsi="宋体" w:eastAsia="仿宋_GB2312" w:cs="仿宋_GB2312"/>
          <w:kern w:val="0"/>
          <w:sz w:val="32"/>
          <w:szCs w:val="32"/>
        </w:rPr>
        <w:t xml:space="preserve"> 为加强对重大水行政执法行为的监督，促进水行政主管部门依法行政，保护公民、法人和其他组织的合法权益，依据国家和自治区相关法律法规及规章，结合我市水行政执法工作实际，特制定本制度。</w:t>
      </w: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第二条</w:t>
      </w:r>
      <w:r>
        <w:rPr>
          <w:rFonts w:hint="eastAsia" w:ascii="仿宋_GB2312" w:hAnsi="宋体" w:eastAsia="仿宋_GB2312" w:cs="仿宋_GB2312"/>
          <w:kern w:val="0"/>
          <w:sz w:val="32"/>
          <w:szCs w:val="32"/>
        </w:rPr>
        <w:t xml:space="preserve"> 本制度所称重大水行政执法决定法制审核，是指县级以上水行政主管部门，在依法作出行政处罚、行政强制、行政征收等重大水行政执法决定前，由本部门法制机构或指定机构（以下统称法制机构）对其合法性进行审核的行为。</w:t>
      </w: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第三条</w:t>
      </w:r>
      <w:r>
        <w:rPr>
          <w:rFonts w:hint="eastAsia" w:ascii="仿宋_GB2312" w:hAnsi="宋体" w:eastAsia="仿宋_GB2312" w:cs="仿宋_GB2312"/>
          <w:kern w:val="0"/>
          <w:sz w:val="32"/>
          <w:szCs w:val="32"/>
        </w:rPr>
        <w:t xml:space="preserve"> 水行政主管部门重大行政执法决定应当进行法制审核，未经审核的，不得作出决定。</w:t>
      </w: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 xml:space="preserve">第四条 </w:t>
      </w:r>
      <w:r>
        <w:rPr>
          <w:rFonts w:hint="eastAsia" w:ascii="仿宋_GB2312" w:hAnsi="宋体" w:eastAsia="仿宋_GB2312" w:cs="仿宋_GB2312"/>
          <w:kern w:val="0"/>
          <w:sz w:val="32"/>
          <w:szCs w:val="32"/>
        </w:rPr>
        <w:t>下列事项属于重大水行政执法决定：</w:t>
      </w:r>
    </w:p>
    <w:p>
      <w:pPr>
        <w:spacing w:line="600" w:lineRule="exact"/>
        <w:ind w:firstLine="640" w:firstLineChars="200"/>
        <w:textAlignment w:val="center"/>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w:t>
      </w:r>
      <w:r>
        <w:rPr>
          <w:rFonts w:hint="eastAsia" w:ascii="Times New Roman" w:hAnsi="Times New Roman" w:eastAsia="仿宋_GB2312" w:cs="Times New Roman"/>
          <w:color w:val="000000"/>
          <w:kern w:val="0"/>
          <w:sz w:val="32"/>
          <w:szCs w:val="32"/>
        </w:rPr>
        <w:t>对公民个人在非经营性活动中的违法行为作出三千元以上或者在经营性活动中的违法行为作出五千元以上，对法人或者其他组织在非经营性活动中的违法行为作出五千元以上或在经营性活动中的违法行为作出二万元以上罚款的</w:t>
      </w:r>
      <w:r>
        <w:rPr>
          <w:rFonts w:hint="eastAsia" w:ascii="仿宋_GB2312" w:hAnsi="宋体" w:eastAsia="仿宋_GB2312" w:cs="仿宋_GB2312"/>
          <w:kern w:val="0"/>
          <w:sz w:val="32"/>
          <w:szCs w:val="32"/>
        </w:rPr>
        <w:t>。</w:t>
      </w:r>
    </w:p>
    <w:p>
      <w:pPr>
        <w:pStyle w:val="4"/>
        <w:spacing w:line="600" w:lineRule="exact"/>
        <w:ind w:firstLine="560" w:firstLineChars="175"/>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（二）拟作出没收违法所得或没收非法财物价值相当于前项规定数额的行政处罚决定的；</w:t>
      </w:r>
    </w:p>
    <w:p>
      <w:pPr>
        <w:pStyle w:val="4"/>
        <w:spacing w:line="600" w:lineRule="exact"/>
        <w:ind w:firstLine="560" w:firstLineChars="175"/>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（三）拟作出责令停产、停业的；</w:t>
      </w:r>
    </w:p>
    <w:p>
      <w:pPr>
        <w:pStyle w:val="4"/>
        <w:spacing w:line="600" w:lineRule="exact"/>
        <w:ind w:firstLine="560" w:firstLineChars="175"/>
        <w:jc w:val="both"/>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四</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拟作出吊销许可证的；</w:t>
      </w:r>
    </w:p>
    <w:p>
      <w:pPr>
        <w:pStyle w:val="4"/>
        <w:spacing w:line="600" w:lineRule="exact"/>
        <w:ind w:firstLine="560" w:firstLineChars="175"/>
        <w:jc w:val="both"/>
        <w:rPr>
          <w:rFonts w:hint="eastAsia"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（五）拟经听证程序后作出的行政处罚决定；</w:t>
      </w:r>
    </w:p>
    <w:p>
      <w:pPr>
        <w:pStyle w:val="4"/>
        <w:spacing w:line="600" w:lineRule="exact"/>
        <w:ind w:firstLine="560" w:firstLineChars="175"/>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六</w:t>
      </w:r>
      <w:r>
        <w:rPr>
          <w:rFonts w:ascii="Times New Roman" w:hAnsi="Times New Roman" w:eastAsia="仿宋_GB2312" w:cs="Times New Roman"/>
          <w:color w:val="000000"/>
          <w:sz w:val="32"/>
          <w:szCs w:val="32"/>
        </w:rPr>
        <w:t>）拟作出查封、扣押决定的；</w:t>
      </w:r>
    </w:p>
    <w:p>
      <w:pPr>
        <w:pStyle w:val="4"/>
        <w:spacing w:line="600" w:lineRule="exact"/>
        <w:ind w:firstLine="560" w:firstLineChars="175"/>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七</w:t>
      </w:r>
      <w:r>
        <w:rPr>
          <w:rFonts w:ascii="Times New Roman" w:hAnsi="Times New Roman" w:eastAsia="仿宋_GB2312" w:cs="Times New Roman"/>
          <w:color w:val="000000"/>
          <w:sz w:val="32"/>
          <w:szCs w:val="32"/>
        </w:rPr>
        <w:t>）拟作出代履行（强行拆除）的；</w:t>
      </w:r>
    </w:p>
    <w:p>
      <w:pPr>
        <w:pStyle w:val="4"/>
        <w:spacing w:line="600" w:lineRule="exact"/>
        <w:ind w:firstLine="560" w:firstLineChars="175"/>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八</w:t>
      </w:r>
      <w:r>
        <w:rPr>
          <w:rFonts w:ascii="Times New Roman" w:hAnsi="Times New Roman" w:eastAsia="仿宋_GB2312" w:cs="Times New Roman"/>
          <w:color w:val="000000"/>
          <w:sz w:val="32"/>
          <w:szCs w:val="32"/>
        </w:rPr>
        <w:t>）对征收标准或征收额有异议的行政征收决定；</w:t>
      </w:r>
    </w:p>
    <w:p>
      <w:pPr>
        <w:pStyle w:val="4"/>
        <w:spacing w:line="600" w:lineRule="exact"/>
        <w:ind w:firstLine="560" w:firstLineChars="175"/>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九</w:t>
      </w:r>
      <w:r>
        <w:rPr>
          <w:rFonts w:ascii="Times New Roman" w:hAnsi="Times New Roman" w:eastAsia="仿宋_GB2312" w:cs="Times New Roman"/>
          <w:color w:val="000000"/>
          <w:sz w:val="32"/>
          <w:szCs w:val="32"/>
        </w:rPr>
        <w:t>）法律、法规、规章规定应当进行法制审核的</w:t>
      </w:r>
      <w:r>
        <w:rPr>
          <w:rFonts w:hint="eastAsia" w:ascii="Times New Roman" w:hAnsi="Times New Roman" w:eastAsia="仿宋_GB2312" w:cs="Times New Roman"/>
          <w:color w:val="000000"/>
          <w:sz w:val="32"/>
          <w:szCs w:val="32"/>
          <w:lang w:eastAsia="zh-CN"/>
        </w:rPr>
        <w:t>其他</w:t>
      </w:r>
      <w:bookmarkStart w:id="1" w:name="_GoBack"/>
      <w:bookmarkEnd w:id="1"/>
      <w:r>
        <w:rPr>
          <w:rFonts w:ascii="Times New Roman" w:hAnsi="Times New Roman" w:eastAsia="仿宋_GB2312" w:cs="Times New Roman"/>
          <w:color w:val="000000"/>
          <w:sz w:val="32"/>
          <w:szCs w:val="32"/>
        </w:rPr>
        <w:t>行政决定。</w:t>
      </w: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第五条</w:t>
      </w:r>
      <w:r>
        <w:rPr>
          <w:rFonts w:hint="eastAsia" w:ascii="仿宋_GB2312" w:hAnsi="宋体" w:eastAsia="仿宋_GB2312" w:cs="仿宋_GB2312"/>
          <w:kern w:val="0"/>
          <w:sz w:val="32"/>
          <w:szCs w:val="32"/>
        </w:rPr>
        <w:t xml:space="preserve"> 重大水行政执法决定在签发前，由水行政主管部门承办机构送法制机构进行审核。审核通过后，承办部门提交本级水行政主管部门集体讨论决定。</w:t>
      </w: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第六条</w:t>
      </w:r>
      <w:r>
        <w:rPr>
          <w:rFonts w:hint="eastAsia" w:ascii="仿宋_GB2312" w:hAnsi="宋体" w:eastAsia="仿宋_GB2312" w:cs="仿宋_GB2312"/>
          <w:kern w:val="0"/>
          <w:sz w:val="32"/>
          <w:szCs w:val="32"/>
        </w:rPr>
        <w:t xml:space="preserve"> 承办机构在送审时应当提交以下材料：</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（一）拟作出的重大水行政执法决定情况说明。</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（二）拟作出的重大水行政执法决定建议。</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（三）相关证据材料。</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（四）经听证的，应当提交听证笔录。</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（五）经评估的，应当提交评估报告。</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（六）其他有关材料。</w:t>
      </w: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第七条</w:t>
      </w:r>
      <w:r>
        <w:rPr>
          <w:rFonts w:hint="eastAsia" w:ascii="仿宋_GB2312" w:hAnsi="宋体" w:eastAsia="仿宋_GB2312" w:cs="仿宋_GB2312"/>
          <w:kern w:val="0"/>
          <w:sz w:val="32"/>
          <w:szCs w:val="32"/>
        </w:rPr>
        <w:t xml:space="preserve"> 拟作出的重大水行政执法决定情况说明应当载明以下内容：</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（一）案件基本事实。</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（二）适用法律、法规、规章的情况。</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（三）水行政执法部门主体资格及执法人员资格情况。</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（四）调查取证和听证情况。</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（五）其他需要说明的情况。</w:t>
      </w: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第八条</w:t>
      </w:r>
      <w:r>
        <w:rPr>
          <w:rFonts w:hint="eastAsia" w:ascii="仿宋_GB2312" w:hAnsi="宋体" w:eastAsia="仿宋_GB2312" w:cs="仿宋_GB2312"/>
          <w:kern w:val="0"/>
          <w:sz w:val="32"/>
          <w:szCs w:val="32"/>
        </w:rPr>
        <w:t xml:space="preserve"> 重大水行政执法决定法制审核内容：</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（一）执法主体及执法人员是否适格。</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（二）是否超越本部门职权范围。</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（三）事实是否清楚，证据是否确凿。</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（四）程序是否合法、正当。</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（五）适用法律、法规或规章是否准确。</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（六）水行政执法文书的制作是否规范。</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（七）其他应当审查的内容。</w:t>
      </w: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第九条</w:t>
      </w:r>
      <w:r>
        <w:rPr>
          <w:rFonts w:hint="eastAsia" w:ascii="仿宋_GB2312" w:hAnsi="宋体" w:eastAsia="仿宋_GB2312" w:cs="仿宋_GB2312"/>
          <w:kern w:val="0"/>
          <w:sz w:val="32"/>
          <w:szCs w:val="32"/>
        </w:rPr>
        <w:t xml:space="preserve"> 法制审核中，审核人员有权调阅被审核的重大水行政执法决定相关材料，有关部门应当予以协助配合。</w:t>
      </w: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第十条</w:t>
      </w:r>
      <w:r>
        <w:rPr>
          <w:rFonts w:hint="eastAsia" w:ascii="仿宋_GB2312" w:hAnsi="宋体" w:eastAsia="仿宋_GB2312" w:cs="仿宋_GB2312"/>
          <w:kern w:val="0"/>
          <w:sz w:val="32"/>
          <w:szCs w:val="32"/>
        </w:rPr>
        <w:t xml:space="preserve"> 法制机构对拟作出的重大水行政执法决定进行审核后，根据不同情况，提出相应的书面意见或建议：</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（一）水行政执法主体和执法人员资格适格，事实清楚，证据确凿，程序合法，适用法律、法规、规章准确，执法文书规范的，提出同意的意见。   </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（二）水行政行为不能成立的，提出不予下发行政执法决定的建议。</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（三）定性不准、适用法律、法规、规章和裁量基准不当的，提出变更意见。</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（四）程序违法的，提出纠正意见。</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（五）事实不清、证据不足、执法文书不规范的，提出退回补充意见。</w:t>
      </w:r>
    </w:p>
    <w:p>
      <w:pPr>
        <w:spacing w:line="560" w:lineRule="exact"/>
        <w:ind w:firstLine="560" w:firstLineChars="175"/>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（六）超出本级水行政主管部门管辖范围的，提出移送意见。</w:t>
      </w: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第十一条</w:t>
      </w:r>
      <w:r>
        <w:rPr>
          <w:rFonts w:hint="eastAsia" w:ascii="仿宋_GB2312" w:hAnsi="宋体" w:eastAsia="仿宋_GB2312" w:cs="仿宋_GB2312"/>
          <w:kern w:val="0"/>
          <w:sz w:val="32"/>
          <w:szCs w:val="32"/>
        </w:rPr>
        <w:t xml:space="preserve"> 水行政主管部门承办机构不同意法制机构审核意见的，可以书面申请法制机构复审一次。经复审，承办机构仍不同意法制机构审核意见的，应当及时提请水行政主管部门负责人决定。</w:t>
      </w: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第十二条</w:t>
      </w:r>
      <w:r>
        <w:rPr>
          <w:rFonts w:hint="eastAsia" w:ascii="仿宋_GB2312" w:hAnsi="宋体" w:eastAsia="仿宋_GB2312" w:cs="仿宋_GB2312"/>
          <w:kern w:val="0"/>
          <w:sz w:val="32"/>
          <w:szCs w:val="32"/>
        </w:rPr>
        <w:t xml:space="preserve"> 法制机构审核重大水行政执法决定，应当制作《重大水行政执法决定法制审核意见书》一式三份，一份报送本级水行政主管部门负责人，一份连同案卷材料回复承办机构，一份留存归档。</w:t>
      </w:r>
    </w:p>
    <w:p>
      <w:pPr>
        <w:spacing w:line="560" w:lineRule="exact"/>
        <w:ind w:firstLine="643" w:firstLineChars="200"/>
        <w:rPr>
          <w:rFonts w:ascii="仿宋_GB2312" w:hAnsi="宋体" w:eastAsia="仿宋_GB2312" w:cs="仿宋_GB2312"/>
          <w:kern w:val="0"/>
          <w:sz w:val="32"/>
          <w:szCs w:val="32"/>
        </w:rPr>
      </w:pPr>
      <w:r>
        <w:rPr>
          <w:rFonts w:hint="eastAsia" w:ascii="仿宋_GB2312" w:hAnsi="宋体" w:eastAsia="仿宋_GB2312" w:cs="仿宋_GB2312"/>
          <w:b/>
          <w:kern w:val="0"/>
          <w:sz w:val="32"/>
          <w:szCs w:val="32"/>
        </w:rPr>
        <w:t>第十三条</w:t>
      </w:r>
      <w:r>
        <w:rPr>
          <w:rFonts w:hint="eastAsia" w:ascii="仿宋_GB2312" w:hAnsi="宋体" w:eastAsia="仿宋_GB2312" w:cs="仿宋_GB2312"/>
          <w:kern w:val="0"/>
          <w:sz w:val="32"/>
          <w:szCs w:val="32"/>
        </w:rPr>
        <w:t xml:space="preserve"> 本制度自公布之日起执行。</w:t>
      </w:r>
    </w:p>
    <w:p/>
    <w:sectPr>
      <w:footerReference r:id="rId3" w:type="default"/>
      <w:pgSz w:w="11906" w:h="16838"/>
      <w:pgMar w:top="2098" w:right="1304" w:bottom="1304" w:left="158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script"/>
    <w:pitch w:val="default"/>
    <w:sig w:usb0="00000000" w:usb1="0000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2D2B25"/>
    <w:rsid w:val="06277622"/>
    <w:rsid w:val="06300D87"/>
    <w:rsid w:val="0E8039D1"/>
    <w:rsid w:val="2269194B"/>
    <w:rsid w:val="24102DEE"/>
    <w:rsid w:val="2D7862E8"/>
    <w:rsid w:val="5E2D2B25"/>
    <w:rsid w:val="72B70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jc w:val="left"/>
    </w:pPr>
    <w:rPr>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临桂县</Company>
  <Pages>1</Pages>
  <Words>0</Words>
  <Characters>0</Characters>
  <Lines>0</Lines>
  <Paragraphs>0</Paragraphs>
  <TotalTime>1</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2020-08-06T08:00:00Z</dcterms:created>
  <dc:creator>GL-001</dc:creator>
  <cp:lastModifiedBy>范运有</cp:lastModifiedBy>
  <cp:lastPrinted>2020-08-06T08:03:00Z</cp:lastPrinted>
  <dcterms:modified xsi:type="dcterms:W3CDTF">2021-05-12T08:47:28Z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