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ind w:firstLine="883" w:firstLineChars="200"/>
        <w:jc w:val="left"/>
        <w:rPr>
          <w:rFonts w:hint="eastAsia" w:ascii="宋体" w:hAnsi="宋体" w:eastAsia="宋体" w:cs="宋体"/>
          <w:b/>
          <w:bCs/>
          <w:i w:val="0"/>
          <w:caps w:val="0"/>
          <w:color w:val="333333"/>
          <w:spacing w:val="0"/>
          <w:kern w:val="0"/>
          <w:sz w:val="44"/>
          <w:szCs w:val="44"/>
          <w:lang w:val="en-US" w:eastAsia="zh-CN" w:bidi="ar"/>
        </w:rPr>
      </w:pPr>
      <w:r>
        <w:rPr>
          <w:rFonts w:hint="eastAsia" w:ascii="宋体" w:hAnsi="宋体" w:eastAsia="宋体" w:cs="宋体"/>
          <w:b/>
          <w:bCs/>
          <w:i w:val="0"/>
          <w:caps w:val="0"/>
          <w:color w:val="333333"/>
          <w:spacing w:val="0"/>
          <w:kern w:val="0"/>
          <w:sz w:val="44"/>
          <w:szCs w:val="44"/>
          <w:lang w:val="en-US" w:eastAsia="zh-CN" w:bidi="ar"/>
        </w:rPr>
        <w:t>桂林市水利局水行政执法责任制度</w:t>
      </w:r>
    </w:p>
    <w:p>
      <w:pPr>
        <w:keepNext w:val="0"/>
        <w:keepLines w:val="0"/>
        <w:widowControl/>
        <w:suppressLineNumbers w:val="0"/>
        <w:ind w:firstLine="600" w:firstLineChars="200"/>
        <w:jc w:val="left"/>
        <w:rPr>
          <w:rFonts w:ascii="仿宋_GB2312" w:hAnsi="宋体" w:eastAsia="仿宋_GB2312" w:cs="仿宋_GB2312"/>
          <w:i w:val="0"/>
          <w:caps w:val="0"/>
          <w:color w:val="333333"/>
          <w:spacing w:val="0"/>
          <w:kern w:val="0"/>
          <w:sz w:val="30"/>
          <w:szCs w:val="30"/>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440" w:lineRule="exact"/>
        <w:ind w:firstLine="643" w:firstLineChars="200"/>
        <w:jc w:val="left"/>
        <w:textAlignment w:val="auto"/>
        <w:outlineLvl w:val="9"/>
        <w:rPr>
          <w:rFonts w:hint="eastAsia" w:ascii="宋体" w:hAnsi="宋体" w:eastAsia="宋体" w:cs="宋体"/>
          <w:sz w:val="32"/>
          <w:szCs w:val="32"/>
        </w:rPr>
      </w:pPr>
      <w:r>
        <w:rPr>
          <w:rFonts w:hint="eastAsia" w:ascii="宋体" w:hAnsi="宋体" w:eastAsia="宋体" w:cs="宋体"/>
          <w:b/>
          <w:bCs/>
          <w:i w:val="0"/>
          <w:caps w:val="0"/>
          <w:color w:val="333333"/>
          <w:spacing w:val="0"/>
          <w:kern w:val="0"/>
          <w:sz w:val="32"/>
          <w:szCs w:val="32"/>
          <w:lang w:val="en-US" w:eastAsia="zh-CN" w:bidi="ar"/>
        </w:rPr>
        <w:t>第一条</w:t>
      </w:r>
      <w:r>
        <w:rPr>
          <w:rFonts w:hint="eastAsia" w:ascii="宋体" w:hAnsi="宋体" w:eastAsia="宋体" w:cs="宋体"/>
          <w:i w:val="0"/>
          <w:caps w:val="0"/>
          <w:color w:val="333333"/>
          <w:spacing w:val="0"/>
          <w:kern w:val="0"/>
          <w:sz w:val="32"/>
          <w:szCs w:val="32"/>
          <w:lang w:val="en-US" w:eastAsia="zh-CN" w:bidi="ar"/>
        </w:rPr>
        <w:t xml:space="preserve"> 为明确水行政执法责任，保证水法正确实施，促进依法行政，根据《中华人民共和国行政处罚法》和广西壮族自治区有关规定，制定本制度。</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600"/>
        <w:jc w:val="left"/>
        <w:textAlignment w:val="auto"/>
        <w:outlineLvl w:val="9"/>
        <w:rPr>
          <w:rFonts w:hint="eastAsia" w:ascii="宋体" w:hAnsi="宋体" w:eastAsia="宋体" w:cs="宋体"/>
          <w:i w:val="0"/>
          <w:caps w:val="0"/>
          <w:color w:val="333333"/>
          <w:spacing w:val="0"/>
          <w:sz w:val="32"/>
          <w:szCs w:val="32"/>
        </w:rPr>
      </w:pPr>
      <w:r>
        <w:rPr>
          <w:rFonts w:hint="eastAsia" w:ascii="宋体" w:hAnsi="宋体" w:eastAsia="宋体" w:cs="宋体"/>
          <w:b/>
          <w:bCs/>
          <w:i w:val="0"/>
          <w:caps w:val="0"/>
          <w:color w:val="333333"/>
          <w:spacing w:val="0"/>
          <w:kern w:val="0"/>
          <w:sz w:val="32"/>
          <w:szCs w:val="32"/>
          <w:lang w:val="en-US" w:eastAsia="zh-CN" w:bidi="ar"/>
        </w:rPr>
        <w:t>第二条</w:t>
      </w:r>
      <w:r>
        <w:rPr>
          <w:rFonts w:hint="eastAsia" w:ascii="宋体" w:hAnsi="宋体" w:eastAsia="宋体" w:cs="宋体"/>
          <w:i w:val="0"/>
          <w:caps w:val="0"/>
          <w:color w:val="333333"/>
          <w:spacing w:val="0"/>
          <w:kern w:val="0"/>
          <w:sz w:val="32"/>
          <w:szCs w:val="32"/>
          <w:lang w:val="en-US" w:eastAsia="zh-CN" w:bidi="ar"/>
        </w:rPr>
        <w:t xml:space="preserve"> 本制度所称水行政执法责任制度，是指水行政主管部门依照法律、法规、规章赋予的水行政执法责任落实到内部水行政执法机构和水政执法人员，并进行考评的一种制度。</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600"/>
        <w:jc w:val="left"/>
        <w:textAlignment w:val="auto"/>
        <w:outlineLvl w:val="9"/>
        <w:rPr>
          <w:rFonts w:hint="eastAsia" w:ascii="宋体" w:hAnsi="宋体" w:eastAsia="宋体" w:cs="宋体"/>
          <w:i w:val="0"/>
          <w:caps w:val="0"/>
          <w:color w:val="333333"/>
          <w:spacing w:val="0"/>
          <w:sz w:val="32"/>
          <w:szCs w:val="32"/>
        </w:rPr>
      </w:pPr>
      <w:r>
        <w:rPr>
          <w:rFonts w:hint="eastAsia" w:ascii="宋体" w:hAnsi="宋体" w:eastAsia="宋体" w:cs="宋体"/>
          <w:b/>
          <w:bCs/>
          <w:i w:val="0"/>
          <w:caps w:val="0"/>
          <w:color w:val="333333"/>
          <w:spacing w:val="0"/>
          <w:kern w:val="0"/>
          <w:sz w:val="32"/>
          <w:szCs w:val="32"/>
          <w:lang w:val="en-US" w:eastAsia="zh-CN" w:bidi="ar"/>
        </w:rPr>
        <w:t>第三条</w:t>
      </w:r>
      <w:r>
        <w:rPr>
          <w:rFonts w:hint="eastAsia" w:ascii="宋体" w:hAnsi="宋体" w:eastAsia="宋体" w:cs="宋体"/>
          <w:i w:val="0"/>
          <w:caps w:val="0"/>
          <w:color w:val="333333"/>
          <w:spacing w:val="0"/>
          <w:kern w:val="0"/>
          <w:sz w:val="32"/>
          <w:szCs w:val="32"/>
          <w:lang w:val="en-US" w:eastAsia="zh-CN" w:bidi="ar"/>
        </w:rPr>
        <w:t xml:space="preserve"> 水行政执法机构应当按照法律、法规、规章规定，承担下列水行政执法责任：（一）向公民、法人及其他组织公示申办有关事项的责任；（二）建立水行政违法案件的立案、调查、处罚等向水行政主管部门报告制度；（三）建立水行政处罚的听证制度；（四）制定水行政执法证件的管理制度；（五）建立水政执法过错追偿制度；</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600"/>
        <w:jc w:val="left"/>
        <w:textAlignment w:val="auto"/>
        <w:outlineLvl w:val="9"/>
        <w:rPr>
          <w:rFonts w:hint="eastAsia" w:ascii="宋体" w:hAnsi="宋体" w:eastAsia="宋体" w:cs="宋体"/>
          <w:i w:val="0"/>
          <w:caps w:val="0"/>
          <w:color w:val="333333"/>
          <w:spacing w:val="0"/>
          <w:kern w:val="0"/>
          <w:sz w:val="32"/>
          <w:szCs w:val="32"/>
          <w:lang w:val="en-US" w:eastAsia="zh-CN" w:bidi="ar"/>
        </w:rPr>
      </w:pPr>
      <w:r>
        <w:rPr>
          <w:rFonts w:hint="eastAsia" w:ascii="宋体" w:hAnsi="宋体" w:eastAsia="宋体" w:cs="宋体"/>
          <w:b/>
          <w:bCs/>
          <w:i w:val="0"/>
          <w:caps w:val="0"/>
          <w:color w:val="333333"/>
          <w:spacing w:val="0"/>
          <w:kern w:val="0"/>
          <w:sz w:val="32"/>
          <w:szCs w:val="32"/>
          <w:lang w:val="en-US" w:eastAsia="zh-CN" w:bidi="ar"/>
        </w:rPr>
        <w:t>第四条</w:t>
      </w:r>
      <w:r>
        <w:rPr>
          <w:rFonts w:hint="eastAsia" w:ascii="宋体" w:hAnsi="宋体" w:eastAsia="宋体" w:cs="宋体"/>
          <w:i w:val="0"/>
          <w:caps w:val="0"/>
          <w:color w:val="333333"/>
          <w:spacing w:val="0"/>
          <w:kern w:val="0"/>
          <w:sz w:val="32"/>
          <w:szCs w:val="32"/>
          <w:lang w:val="en-US" w:eastAsia="zh-CN" w:bidi="ar"/>
        </w:rPr>
        <w:t xml:space="preserve"> 水行政执法人员执法责任：（一）必须公正执法，文明执法；（二）必须依法认真履行职责，严格遵守执法程序，规范填写执法文书；（三）必须接受执法的监督、检查；（四）因过错而导致水行政违法的，应当承担相应的行政责任。</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600"/>
        <w:jc w:val="left"/>
        <w:textAlignment w:val="auto"/>
        <w:outlineLvl w:val="9"/>
        <w:rPr>
          <w:rFonts w:hint="eastAsia" w:ascii="宋体" w:hAnsi="宋体" w:eastAsia="宋体" w:cs="宋体"/>
          <w:i w:val="0"/>
          <w:caps w:val="0"/>
          <w:color w:val="333333"/>
          <w:spacing w:val="0"/>
          <w:sz w:val="32"/>
          <w:szCs w:val="32"/>
        </w:rPr>
      </w:pPr>
      <w:r>
        <w:rPr>
          <w:rFonts w:hint="eastAsia" w:ascii="宋体" w:hAnsi="宋体" w:eastAsia="宋体" w:cs="宋体"/>
          <w:b/>
          <w:bCs/>
          <w:i w:val="0"/>
          <w:caps w:val="0"/>
          <w:color w:val="333333"/>
          <w:spacing w:val="0"/>
          <w:kern w:val="0"/>
          <w:sz w:val="32"/>
          <w:szCs w:val="32"/>
          <w:lang w:val="en-US" w:eastAsia="zh-CN" w:bidi="ar"/>
        </w:rPr>
        <w:t>第五条</w:t>
      </w:r>
      <w:r>
        <w:rPr>
          <w:rFonts w:hint="eastAsia" w:ascii="宋体" w:hAnsi="宋体" w:eastAsia="宋体" w:cs="宋体"/>
          <w:i w:val="0"/>
          <w:caps w:val="0"/>
          <w:color w:val="333333"/>
          <w:spacing w:val="0"/>
          <w:kern w:val="0"/>
          <w:sz w:val="32"/>
          <w:szCs w:val="32"/>
          <w:lang w:val="en-US" w:eastAsia="zh-CN" w:bidi="ar"/>
        </w:rPr>
        <w:t xml:space="preserve"> 水行政主管部门每年年底应当对其所属水行政执法机构和下一级水行政执法机构执法责任制的执行情况进行考评。水行政执法机构应当对本机构执法人员的执法情况进行考评。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jc w:val="left"/>
        <w:textAlignment w:val="auto"/>
        <w:outlineLvl w:val="9"/>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kern w:val="0"/>
          <w:sz w:val="32"/>
          <w:szCs w:val="32"/>
          <w:lang w:val="en-US" w:eastAsia="zh-CN" w:bidi="ar"/>
        </w:rPr>
        <w:t>　　考评小组由水行政主管部门的水政水资源科会同执法支队、人事科、监察部门的人员组成。考评小组有采取跟踪抽查、联查联评等方式，对本年度水行行政执法责任制的执行情况进行考评。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600"/>
        <w:jc w:val="left"/>
        <w:textAlignment w:val="auto"/>
        <w:outlineLvl w:val="9"/>
        <w:rPr>
          <w:rFonts w:hint="eastAsia" w:ascii="宋体" w:hAnsi="宋体" w:eastAsia="宋体" w:cs="宋体"/>
          <w:i w:val="0"/>
          <w:caps w:val="0"/>
          <w:color w:val="333333"/>
          <w:spacing w:val="0"/>
          <w:sz w:val="32"/>
          <w:szCs w:val="32"/>
        </w:rPr>
      </w:pPr>
      <w:r>
        <w:rPr>
          <w:rFonts w:hint="eastAsia" w:ascii="宋体" w:hAnsi="宋体" w:eastAsia="宋体" w:cs="宋体"/>
          <w:b/>
          <w:bCs/>
          <w:i w:val="0"/>
          <w:caps w:val="0"/>
          <w:color w:val="333333"/>
          <w:spacing w:val="0"/>
          <w:kern w:val="0"/>
          <w:sz w:val="32"/>
          <w:szCs w:val="32"/>
          <w:lang w:val="en-US" w:eastAsia="zh-CN" w:bidi="ar"/>
        </w:rPr>
        <w:t>第六条</w:t>
      </w:r>
      <w:r>
        <w:rPr>
          <w:rFonts w:hint="eastAsia" w:ascii="宋体" w:hAnsi="宋体" w:eastAsia="宋体" w:cs="宋体"/>
          <w:i w:val="0"/>
          <w:caps w:val="0"/>
          <w:color w:val="333333"/>
          <w:spacing w:val="0"/>
          <w:kern w:val="0"/>
          <w:sz w:val="32"/>
          <w:szCs w:val="32"/>
          <w:lang w:val="en-US" w:eastAsia="zh-CN" w:bidi="ar"/>
        </w:rPr>
        <w:t>考评内容：（一）本制度第三、四条规定的落实情况；（二）水行政处罚、行政措施是否正确；（三）水行政许可是否正确；（四）水规费征收是否正确；（五）水事纠纷处理是否正确；（六）水行政复议决定是否正确；（七）水行政诉讼的败诉率。</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600"/>
        <w:jc w:val="left"/>
        <w:textAlignment w:val="auto"/>
        <w:outlineLvl w:val="9"/>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kern w:val="0"/>
          <w:sz w:val="32"/>
          <w:szCs w:val="32"/>
          <w:lang w:val="en-US" w:eastAsia="zh-CN" w:bidi="ar"/>
        </w:rPr>
        <w:t>第七条 考评程序：（一）被考评对象自查自评后将自评结果报考评小组，考评小组组织联查联评；（二）考评小组在综合分析基础上，写出考评材料报同级水行政主管部门；（三）将考评结果通知被考评对象。被考评对象对考评结果有异议的，可以自收到考评结果通知之日起30日内向考评小组的同级水行政主管部门申诉。</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600"/>
        <w:jc w:val="left"/>
        <w:textAlignment w:val="auto"/>
        <w:outlineLvl w:val="9"/>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kern w:val="0"/>
          <w:sz w:val="32"/>
          <w:szCs w:val="32"/>
          <w:lang w:val="en-US" w:eastAsia="zh-CN" w:bidi="ar"/>
        </w:rPr>
        <w:t>第八条 考评小组可根据考评工作需要，采取下列方式调查核实被考评对象的有关情况：（一）查阅相关资料；（二）采集核实有关数据；（三）专项调查；（四）征求意见。</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600"/>
        <w:jc w:val="left"/>
        <w:textAlignment w:val="auto"/>
        <w:outlineLvl w:val="9"/>
        <w:rPr>
          <w:rFonts w:hint="eastAsia" w:ascii="宋体" w:hAnsi="宋体" w:eastAsia="宋体" w:cs="宋体"/>
          <w:i w:val="0"/>
          <w:caps w:val="0"/>
          <w:color w:val="333333"/>
          <w:spacing w:val="0"/>
          <w:kern w:val="0"/>
          <w:sz w:val="32"/>
          <w:szCs w:val="32"/>
          <w:lang w:val="en-US" w:eastAsia="zh-CN" w:bidi="ar"/>
        </w:rPr>
      </w:pPr>
      <w:r>
        <w:rPr>
          <w:rFonts w:hint="eastAsia" w:ascii="宋体" w:hAnsi="宋体" w:eastAsia="宋体" w:cs="宋体"/>
          <w:i w:val="0"/>
          <w:caps w:val="0"/>
          <w:color w:val="333333"/>
          <w:spacing w:val="0"/>
          <w:kern w:val="0"/>
          <w:sz w:val="32"/>
          <w:szCs w:val="32"/>
          <w:lang w:val="en-US" w:eastAsia="zh-CN" w:bidi="ar"/>
        </w:rPr>
        <w:t>第九条 水行政主管部门对所属执法机构和下一级执法机构的考评结果分为优秀、合格、不合格三等次。对水行政执法人员的考评结果分为优秀、称职、不称职三个等次。</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600"/>
        <w:jc w:val="left"/>
        <w:textAlignment w:val="auto"/>
        <w:outlineLvl w:val="9"/>
        <w:rPr>
          <w:rFonts w:hint="eastAsia" w:ascii="宋体" w:hAnsi="宋体" w:eastAsia="宋体" w:cs="宋体"/>
          <w:i w:val="0"/>
          <w:caps w:val="0"/>
          <w:color w:val="333333"/>
          <w:spacing w:val="0"/>
          <w:kern w:val="0"/>
          <w:sz w:val="32"/>
          <w:szCs w:val="32"/>
          <w:lang w:val="en-US" w:eastAsia="zh-CN" w:bidi="ar"/>
        </w:rPr>
      </w:pPr>
      <w:r>
        <w:rPr>
          <w:rFonts w:hint="eastAsia" w:ascii="宋体" w:hAnsi="宋体" w:eastAsia="宋体" w:cs="宋体"/>
          <w:i w:val="0"/>
          <w:caps w:val="0"/>
          <w:color w:val="333333"/>
          <w:spacing w:val="0"/>
          <w:kern w:val="0"/>
          <w:sz w:val="32"/>
          <w:szCs w:val="32"/>
          <w:lang w:val="en-US" w:eastAsia="zh-CN" w:bidi="ar"/>
        </w:rPr>
        <w:t>优秀等次的条件：（一）无违法、不当水行政行为；（二）考评成绩90分以上（含90分）。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600"/>
        <w:jc w:val="left"/>
        <w:textAlignment w:val="auto"/>
        <w:outlineLvl w:val="9"/>
        <w:rPr>
          <w:rFonts w:hint="eastAsia" w:ascii="宋体" w:hAnsi="宋体" w:eastAsia="宋体" w:cs="宋体"/>
          <w:i w:val="0"/>
          <w:caps w:val="0"/>
          <w:color w:val="333333"/>
          <w:spacing w:val="0"/>
          <w:kern w:val="0"/>
          <w:sz w:val="32"/>
          <w:szCs w:val="32"/>
          <w:lang w:val="en-US" w:eastAsia="zh-CN" w:bidi="ar"/>
        </w:rPr>
      </w:pPr>
      <w:r>
        <w:rPr>
          <w:rFonts w:hint="eastAsia" w:ascii="宋体" w:hAnsi="宋体" w:eastAsia="宋体" w:cs="宋体"/>
          <w:i w:val="0"/>
          <w:caps w:val="0"/>
          <w:color w:val="333333"/>
          <w:spacing w:val="0"/>
          <w:kern w:val="0"/>
          <w:sz w:val="32"/>
          <w:szCs w:val="32"/>
          <w:lang w:val="en-US" w:eastAsia="zh-CN" w:bidi="ar"/>
        </w:rPr>
        <w:t>合格（称职）等次的条件：（一）虽有违法、不当水行政行为，但未造成严重后果并已及时纠正；（二）考评成绩60分以上（含60分）90分以下；</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600"/>
        <w:jc w:val="left"/>
        <w:textAlignment w:val="auto"/>
        <w:outlineLvl w:val="9"/>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kern w:val="0"/>
          <w:sz w:val="32"/>
          <w:szCs w:val="32"/>
          <w:lang w:val="en-US" w:eastAsia="zh-CN" w:bidi="ar"/>
        </w:rPr>
        <w:t>有下列情形之一的，应评为不合格（不称职）：（一）有严重违法、不当行政行为；（二）对违法、不当行政行为，经指出后不按时纠正的；（三）考评成绩在60分以下的。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600"/>
        <w:jc w:val="left"/>
        <w:textAlignment w:val="auto"/>
        <w:outlineLvl w:val="9"/>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kern w:val="0"/>
          <w:sz w:val="32"/>
          <w:szCs w:val="32"/>
          <w:lang w:val="en-US" w:eastAsia="zh-CN" w:bidi="ar"/>
        </w:rPr>
        <w:t>第十条  考评结果的运用：（一）列为选拔、使用、职务升降、先进评定、奖惩、培训的重要依据之一；（二）对被评为不合格的执法机构，应撤换该机构负责人。对被评为不称职的水行政执法人员，经限期整改后连续两年内不称职的，应调离水行政执法队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600"/>
        <w:jc w:val="left"/>
        <w:textAlignment w:val="auto"/>
        <w:outlineLvl w:val="9"/>
        <w:rPr>
          <w:rFonts w:hint="eastAsia" w:ascii="宋体" w:hAnsi="宋体" w:eastAsia="宋体" w:cs="宋体"/>
          <w:i w:val="0"/>
          <w:caps w:val="0"/>
          <w:color w:val="333333"/>
          <w:spacing w:val="0"/>
          <w:sz w:val="32"/>
          <w:szCs w:val="32"/>
        </w:rPr>
      </w:pPr>
      <w:r>
        <w:rPr>
          <w:rFonts w:hint="eastAsia" w:ascii="宋体" w:hAnsi="宋体" w:eastAsia="宋体" w:cs="宋体"/>
          <w:i w:val="0"/>
          <w:caps w:val="0"/>
          <w:color w:val="333333"/>
          <w:spacing w:val="0"/>
          <w:kern w:val="0"/>
          <w:sz w:val="32"/>
          <w:szCs w:val="32"/>
          <w:lang w:val="en-US" w:eastAsia="zh-CN" w:bidi="ar"/>
        </w:rPr>
        <w:t>第十一条  本规定自印发之日起施行。</w:t>
      </w:r>
    </w:p>
    <w:p>
      <w:pPr>
        <w:keepNext w:val="0"/>
        <w:keepLines w:val="0"/>
        <w:pageBreakBefore w:val="0"/>
        <w:kinsoku/>
        <w:wordWrap/>
        <w:overflowPunct/>
        <w:topLinePunct w:val="0"/>
        <w:autoSpaceDE/>
        <w:autoSpaceDN/>
        <w:bidi w:val="0"/>
        <w:adjustRightInd/>
        <w:snapToGrid/>
        <w:spacing w:line="440" w:lineRule="exact"/>
        <w:textAlignment w:val="auto"/>
        <w:outlineLvl w:val="9"/>
        <w:rPr>
          <w:rFonts w:hint="eastAsia" w:ascii="宋体" w:hAnsi="宋体" w:eastAsia="宋体" w:cs="宋体"/>
          <w:sz w:val="32"/>
          <w:szCs w:val="32"/>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bookmarkStart w:id="0" w:name="_GoBack"/>
    <w:bookmarkEnd w:id="0"/>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511175" cy="479425"/>
              <wp:effectExtent l="0" t="0" r="0" b="0"/>
              <wp:wrapNone/>
              <wp:docPr id="1" name="文本框 1"/>
              <wp:cNvGraphicFramePr/>
              <a:graphic xmlns:a="http://schemas.openxmlformats.org/drawingml/2006/main">
                <a:graphicData uri="http://schemas.microsoft.com/office/word/2010/wordprocessingShape">
                  <wps:wsp>
                    <wps:cNvSpPr txBox="1"/>
                    <wps:spPr>
                      <a:xfrm>
                        <a:off x="0" y="0"/>
                        <a:ext cx="511175" cy="479425"/>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sz w:val="32"/>
                              <w:szCs w:val="32"/>
                              <w:lang w:eastAsia="zh-CN"/>
                            </w:rPr>
                          </w:pPr>
                          <w:r>
                            <w:rPr>
                              <w:rFonts w:hint="eastAsia"/>
                              <w:sz w:val="32"/>
                              <w:szCs w:val="32"/>
                              <w:lang w:eastAsia="zh-CN"/>
                            </w:rPr>
                            <w:fldChar w:fldCharType="begin"/>
                          </w:r>
                          <w:r>
                            <w:rPr>
                              <w:rFonts w:hint="eastAsia"/>
                              <w:sz w:val="32"/>
                              <w:szCs w:val="32"/>
                              <w:lang w:eastAsia="zh-CN"/>
                            </w:rPr>
                            <w:instrText xml:space="preserve"> PAGE  \* MERGEFORMAT </w:instrText>
                          </w:r>
                          <w:r>
                            <w:rPr>
                              <w:rFonts w:hint="eastAsia"/>
                              <w:sz w:val="32"/>
                              <w:szCs w:val="32"/>
                              <w:lang w:eastAsia="zh-CN"/>
                            </w:rPr>
                            <w:fldChar w:fldCharType="separate"/>
                          </w:r>
                          <w:r>
                            <w:rPr>
                              <w:rFonts w:hint="eastAsia"/>
                              <w:sz w:val="32"/>
                              <w:szCs w:val="32"/>
                              <w:lang w:eastAsia="zh-CN"/>
                            </w:rPr>
                            <w:t>1</w:t>
                          </w:r>
                          <w:r>
                            <w:rPr>
                              <w:rFonts w:hint="eastAsia"/>
                              <w:sz w:val="32"/>
                              <w:szCs w:val="32"/>
                              <w:lang w:eastAsia="zh-CN"/>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37.75pt;width:40.25pt;mso-position-horizontal:center;mso-position-horizontal-relative:margin;z-index:251658240;mso-width-relative:page;mso-height-relative:page;" filled="f" stroked="f" coordsize="21600,21600" o:gfxdata="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">
              <v:fill on="f" focussize="0,0"/>
              <v:stroke on="f" weight="0.5pt"/>
              <v:imagedata o:title=""/>
              <o:lock v:ext="edit" aspectratio="f"/>
              <v:textbox inset="0mm,0mm,0mm,0mm">
                <w:txbxContent>
                  <w:p>
                    <w:pPr>
                      <w:pStyle w:val="2"/>
                      <w:rPr>
                        <w:rFonts w:hint="eastAsia" w:eastAsiaTheme="minorEastAsia"/>
                        <w:sz w:val="32"/>
                        <w:szCs w:val="32"/>
                        <w:lang w:eastAsia="zh-CN"/>
                      </w:rPr>
                    </w:pPr>
                    <w:r>
                      <w:rPr>
                        <w:rFonts w:hint="eastAsia"/>
                        <w:sz w:val="32"/>
                        <w:szCs w:val="32"/>
                        <w:lang w:eastAsia="zh-CN"/>
                      </w:rPr>
                      <w:fldChar w:fldCharType="begin"/>
                    </w:r>
                    <w:r>
                      <w:rPr>
                        <w:rFonts w:hint="eastAsia"/>
                        <w:sz w:val="32"/>
                        <w:szCs w:val="32"/>
                        <w:lang w:eastAsia="zh-CN"/>
                      </w:rPr>
                      <w:instrText xml:space="preserve"> PAGE  \* MERGEFORMAT </w:instrText>
                    </w:r>
                    <w:r>
                      <w:rPr>
                        <w:rFonts w:hint="eastAsia"/>
                        <w:sz w:val="32"/>
                        <w:szCs w:val="32"/>
                        <w:lang w:eastAsia="zh-CN"/>
                      </w:rPr>
                      <w:fldChar w:fldCharType="separate"/>
                    </w:r>
                    <w:r>
                      <w:rPr>
                        <w:rFonts w:hint="eastAsia"/>
                        <w:sz w:val="32"/>
                        <w:szCs w:val="32"/>
                        <w:lang w:eastAsia="zh-CN"/>
                      </w:rPr>
                      <w:t>1</w:t>
                    </w:r>
                    <w:r>
                      <w:rPr>
                        <w:rFonts w:hint="eastAsia"/>
                        <w:sz w:val="32"/>
                        <w:szCs w:val="32"/>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115979"/>
    <w:rsid w:val="095B3E20"/>
    <w:rsid w:val="26D76B29"/>
    <w:rsid w:val="58A57265"/>
    <w:rsid w:val="6F1F73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范运有</cp:lastModifiedBy>
  <dcterms:modified xsi:type="dcterms:W3CDTF">2021-05-10T08:03:16Z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