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桂林市水利局行政执法巡查制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第一条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依据水法律、法规、规章及时发现、制止水事违法行为和水事纠纷。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第二条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按照属地管理和分级管理原则，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水利综合行政执法支队</w:t>
      </w:r>
      <w:r>
        <w:rPr>
          <w:rFonts w:hint="default" w:ascii="Times New Roman" w:hAnsi="Times New Roman" w:eastAsia="仿宋" w:cs="Times New Roman"/>
          <w:sz w:val="32"/>
          <w:szCs w:val="32"/>
        </w:rPr>
        <w:t>负责对本市辖区内的河道、水利水文工程设施、取用水户和开发建设项目的水土保持情况进行巡查。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第三条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巡查分日常巡查、重点巡查和专项巡查。日常巡查：每个季度在辖区内进行一次巡查；重点巡查：每个月对水事违法行为多发区或重点对象进行巡查；专项检查：根据上级要求和部署开展。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第四条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建立巡查记录台帐，记录巡查时间、地点、巡查情况和现场处理结果，对不易保存的现场及证据应存有照片或摄像等资料备查。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第五条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实行巡查报告制，对巡查中发现的问题，巡查人员应在24小时内报告并提出初步处理意见。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第六条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实行巡查责任制，对巡查中发现的正在发生的水事违法行为，巡查人员有责任进行制止。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pgSz w:w="11906" w:h="16838"/>
      <w:pgMar w:top="2098" w:right="1304" w:bottom="1304" w:left="1587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93825"/>
    <w:rsid w:val="06277622"/>
    <w:rsid w:val="0E8039D1"/>
    <w:rsid w:val="12AC2E28"/>
    <w:rsid w:val="48C93825"/>
    <w:rsid w:val="5D5A47D8"/>
    <w:rsid w:val="72B70F96"/>
    <w:rsid w:val="7E94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临桂县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2020-08-24T03:01:00Z</dcterms:created>
  <dc:creator>GL-001</dc:creator>
  <cp:lastModifiedBy>GL-001</cp:lastModifiedBy>
  <dcterms:modified xsi:type="dcterms:W3CDTF">2020-08-24T03:24:14Z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