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Lines="0" w:afterLines="0"/>
        <w:jc w:val="center"/>
        <w:rPr>
          <w:rFonts w:hint="eastAsia" w:cs="Times New Roman"/>
          <w:b/>
          <w:bCs/>
          <w:sz w:val="44"/>
          <w:szCs w:val="20"/>
          <w:lang w:val="en-US" w:eastAsia="zh-CN"/>
        </w:rPr>
      </w:pPr>
      <w:r>
        <w:rPr>
          <w:rFonts w:hint="eastAsia" w:cs="Times New Roman"/>
          <w:b/>
          <w:bCs/>
          <w:sz w:val="44"/>
          <w:szCs w:val="20"/>
          <w:lang w:val="en-US" w:eastAsia="zh-CN"/>
        </w:rPr>
        <w:t>《桂林市青狮潭水库饮用水水源保护管理规定》</w:t>
      </w:r>
    </w:p>
    <w:p>
      <w:pPr>
        <w:pStyle w:val="8"/>
        <w:spacing w:beforeLines="0" w:afterLines="0"/>
        <w:jc w:val="center"/>
        <w:rPr>
          <w:rStyle w:val="9"/>
          <w:rFonts w:hint="default" w:cs="Times New Roman"/>
          <w:b/>
          <w:bCs/>
          <w:sz w:val="30"/>
          <w:szCs w:val="20"/>
        </w:rPr>
      </w:pPr>
      <w:r>
        <w:rPr>
          <w:rFonts w:hint="eastAsia" w:eastAsia="宋体" w:cs="Times New Roman"/>
          <w:b/>
          <w:bCs/>
          <w:sz w:val="44"/>
          <w:szCs w:val="20"/>
        </w:rPr>
        <w:t>库区管理机构行政处罚裁量权基准制度</w:t>
      </w:r>
    </w:p>
    <w:tbl>
      <w:tblPr>
        <w:tblStyle w:val="5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9"/>
        <w:gridCol w:w="1542"/>
        <w:gridCol w:w="4528"/>
        <w:gridCol w:w="707"/>
        <w:gridCol w:w="4205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tblHeader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序号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项目分类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项目名称</w:t>
            </w:r>
          </w:p>
        </w:tc>
        <w:tc>
          <w:tcPr>
            <w:tcW w:w="4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法律依据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违法程度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裁量情形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b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b/>
                <w:kern w:val="0"/>
                <w:sz w:val="21"/>
                <w:szCs w:val="24"/>
              </w:rPr>
              <w:t>量化标准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1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饮用水水源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保护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在青狮潭水库饮用水水源一级保护区内驶入、停靠与水质监测和保护、防汛、抢险救灾或者水利工程管理需要无关的船舶、快艇、橡皮艇、冲锋舟、排筏等水上交通运输工具的处罚</w:t>
            </w:r>
          </w:p>
        </w:tc>
        <w:tc>
          <w:tcPr>
            <w:tcW w:w="4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第十六条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第一款</w:t>
            </w:r>
            <w:r>
              <w:rPr>
                <w:rFonts w:hint="default"/>
                <w:kern w:val="0"/>
                <w:sz w:val="21"/>
                <w:szCs w:val="24"/>
              </w:rPr>
              <w:t xml:space="preserve"> 违反本规定第十条第一项规定，在青狮潭水库饮用水水源一级保护区内驶入、停靠与水质监测和保护、防汛、抢险救灾或者水利工程管理需要无关的船舶、快艇、橡皮艇、冲锋舟、排筏等水上交通运输工具的，由库区管理机构责令驶离并给予警告；拒不驶离的，处二千元以上二万元以下罚款。</w:t>
            </w:r>
          </w:p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轻微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b/>
                <w:bCs/>
                <w:kern w:val="0"/>
                <w:sz w:val="21"/>
                <w:szCs w:val="24"/>
                <w:lang w:val="en-US"/>
              </w:rPr>
            </w:pP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经责令立即驶离的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center"/>
              <w:rPr>
                <w:rFonts w:hint="default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一般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both"/>
              <w:rPr>
                <w:rFonts w:hint="eastAsia"/>
                <w:kern w:val="0"/>
                <w:sz w:val="21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both"/>
              <w:rPr>
                <w:rFonts w:hint="eastAsia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经责令拒不驶离持续时间不满2小时的</w:t>
            </w:r>
          </w:p>
          <w:p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处二千元以上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五千</w:t>
            </w:r>
            <w:r>
              <w:rPr>
                <w:rFonts w:hint="default"/>
                <w:kern w:val="0"/>
                <w:sz w:val="21"/>
                <w:szCs w:val="24"/>
              </w:rPr>
              <w:t>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default"/>
                <w:kern w:val="0"/>
                <w:sz w:val="22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较重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Lines="0" w:afterLines="0" w:line="320" w:lineRule="exact"/>
              <w:jc w:val="both"/>
              <w:rPr>
                <w:rFonts w:hint="eastAsia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属于一般情形，并因同类违法行为被罚款处罚一次以上的</w:t>
            </w:r>
          </w:p>
          <w:p>
            <w:pPr>
              <w:widowControl/>
              <w:numPr>
                <w:ilvl w:val="0"/>
                <w:numId w:val="1"/>
              </w:num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  <w:lang w:val="en-US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经责令拒不驶离持续时间2小时之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上24小时以下的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处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五千元</w:t>
            </w:r>
            <w:r>
              <w:rPr>
                <w:rFonts w:hint="default"/>
                <w:kern w:val="0"/>
                <w:sz w:val="21"/>
                <w:szCs w:val="24"/>
              </w:rPr>
              <w:t>以上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一</w:t>
            </w:r>
            <w:r>
              <w:rPr>
                <w:rFonts w:hint="default"/>
                <w:kern w:val="0"/>
                <w:sz w:val="21"/>
                <w:szCs w:val="24"/>
              </w:rPr>
              <w:t>万元以下罚款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</w:pPr>
          </w:p>
        </w:tc>
        <w:tc>
          <w:tcPr>
            <w:tcW w:w="4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严重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1、属于较重情形，并因同类违法行为被罚款处罚一次以上的</w:t>
            </w:r>
          </w:p>
          <w:p>
            <w:pPr>
              <w:widowControl/>
              <w:spacing w:beforeLines="0" w:afterLines="0" w:line="320" w:lineRule="exact"/>
              <w:jc w:val="both"/>
              <w:rPr>
                <w:rFonts w:hint="eastAsia" w:eastAsia="宋体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经责令拒不驶离持续时间</w:t>
            </w: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超过24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小时的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eastAsia" w:eastAsia="宋体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处</w:t>
            </w: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一万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元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以上</w:t>
            </w: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二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万元以下罚款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2</w:t>
            </w: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在水库消落区种植农作物的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处罚</w:t>
            </w:r>
          </w:p>
        </w:tc>
        <w:tc>
          <w:tcPr>
            <w:tcW w:w="4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第十六条第四款  违反本规定第十条第五项规定，在水库消落区种植农作物的，由库区管理机构责令停止违法行为，恢复原状；拒不改正的，没收违法所得，按照种植面积，可以对个人处每平方米二元以下罚款、对单位处每平方米十元以下罚款。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轻微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种植面积不足10平方米，经责令停止违法行为，并恢复原状的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一般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种植面积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10平方米以上</w:t>
            </w: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100平方米以下的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对个人处每平方米1元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以下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、对单位处每平方米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4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元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以下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较重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、属于一般情形，不依照指令停止违法行为，不采取措施恢复原状的</w:t>
            </w:r>
          </w:p>
          <w:p>
            <w:p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种植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面积</w:t>
            </w:r>
            <w:r>
              <w:rPr>
                <w:rFonts w:hint="eastAsia" w:eastAsia="宋体"/>
                <w:kern w:val="0"/>
                <w:sz w:val="21"/>
                <w:szCs w:val="24"/>
                <w:lang w:val="en-US" w:eastAsia="zh-CN"/>
              </w:rPr>
              <w:t>100平方米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以上500平方米以下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对个人处每平方米1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元以上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至1.5元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以下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、对单位处每平方米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4元以上6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元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以下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严重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、违法情形属于较重情形，不依令停止违法行为，不采取补救措施的</w:t>
            </w:r>
          </w:p>
          <w:p>
            <w:pPr>
              <w:spacing w:beforeLines="0" w:afterLines="0" w:line="320" w:lineRule="exact"/>
              <w:jc w:val="both"/>
              <w:rPr>
                <w:rFonts w:hint="default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种植面积500平方米以上的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对个人处每平方米1.5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元以上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2元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以下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、对单位处每平方米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6元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以上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3</w:t>
            </w: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在水库消落区驶入车辆、野炊、露营的处罚</w:t>
            </w:r>
          </w:p>
        </w:tc>
        <w:tc>
          <w:tcPr>
            <w:tcW w:w="4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第十六条第五款  违反本规定第十条第六项规定，在水库消落区驶入车辆、野炊、露营的，由库区管理机构责令停止违法行为；拒不改正的，处五百元以上二千元以下罚款。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轻微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 w:eastAsia="宋体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初次违法，经责令立即停止违法行为的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一般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经责令拒不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改正持续时间</w:t>
            </w:r>
            <w:r>
              <w:rPr>
                <w:rFonts w:hint="default"/>
                <w:kern w:val="0"/>
                <w:sz w:val="21"/>
                <w:szCs w:val="24"/>
              </w:rPr>
              <w:t>不满</w:t>
            </w:r>
            <w:bookmarkStart w:id="0" w:name="_GoBack"/>
            <w:bookmarkEnd w:id="0"/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1</w:t>
            </w:r>
            <w:r>
              <w:rPr>
                <w:rFonts w:hint="default"/>
                <w:kern w:val="0"/>
                <w:sz w:val="21"/>
                <w:szCs w:val="24"/>
              </w:rPr>
              <w:t>小时的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default"/>
                <w:kern w:val="0"/>
                <w:sz w:val="21"/>
                <w:szCs w:val="24"/>
              </w:rPr>
              <w:t>处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五百</w:t>
            </w:r>
            <w:r>
              <w:rPr>
                <w:rFonts w:hint="default"/>
                <w:kern w:val="0"/>
                <w:sz w:val="21"/>
                <w:szCs w:val="24"/>
              </w:rPr>
              <w:t>元以上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一千</w:t>
            </w:r>
            <w:r>
              <w:rPr>
                <w:rFonts w:hint="default"/>
                <w:kern w:val="0"/>
                <w:sz w:val="21"/>
                <w:szCs w:val="24"/>
              </w:rPr>
              <w:t>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较重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eastAsia" w:eastAsia="宋体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1、属于一般情形，并因同类违法行为被罚款处罚一次以上的</w:t>
            </w:r>
          </w:p>
          <w:p>
            <w:p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2、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经责令拒不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改正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持续时间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小时之上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12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小时以下的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处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一千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元以上一千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五百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4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严重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eastAsia" w:eastAsia="宋体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1、属于较重情形，并因同类违法行为被罚款处罚一次以上的</w:t>
            </w:r>
          </w:p>
          <w:p>
            <w:pPr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2、经责令拒不驶离持续时间超过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12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小时的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20" w:lineRule="exact"/>
              <w:jc w:val="both"/>
              <w:rPr>
                <w:rFonts w:hint="default"/>
                <w:kern w:val="0"/>
                <w:sz w:val="21"/>
                <w:szCs w:val="24"/>
              </w:rPr>
            </w:pPr>
            <w:r>
              <w:rPr>
                <w:rFonts w:hint="eastAsia" w:eastAsia="宋体"/>
                <w:kern w:val="0"/>
                <w:sz w:val="21"/>
                <w:szCs w:val="24"/>
              </w:rPr>
              <w:t>处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一千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五百元以上</w:t>
            </w:r>
            <w:r>
              <w:rPr>
                <w:rFonts w:hint="eastAsia"/>
                <w:kern w:val="0"/>
                <w:sz w:val="21"/>
                <w:szCs w:val="24"/>
                <w:lang w:val="en-US" w:eastAsia="zh-CN"/>
              </w:rPr>
              <w:t>二</w:t>
            </w:r>
            <w:r>
              <w:rPr>
                <w:rFonts w:hint="eastAsia" w:eastAsia="宋体"/>
                <w:kern w:val="0"/>
                <w:sz w:val="21"/>
                <w:szCs w:val="24"/>
              </w:rPr>
              <w:t>千元以下罚款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</w:p>
    <w:sectPr>
      <w:pgSz w:w="15840" w:h="12240" w:orient="landscape"/>
      <w:pgMar w:top="1803" w:right="1440" w:bottom="1803" w:left="1440" w:header="720" w:footer="720" w:gutter="0"/>
      <w:lnNumType w:countBy="0" w:distance="360"/>
      <w:cols w:space="0" w:num="1"/>
      <w:rtlGutter w:val="0"/>
      <w:docGrid w:type="lines" w:linePitch="39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5FBAE"/>
    <w:multiLevelType w:val="singleLevel"/>
    <w:tmpl w:val="61E5FB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TQ0MTg4MWNhZDU0MTQxMmRlMDliZWY0YTEzN2IifQ=="/>
  </w:docVars>
  <w:rsids>
    <w:rsidRoot w:val="00172A27"/>
    <w:rsid w:val="03DA5F63"/>
    <w:rsid w:val="078F7797"/>
    <w:rsid w:val="08A073FD"/>
    <w:rsid w:val="096A2155"/>
    <w:rsid w:val="0C7A586D"/>
    <w:rsid w:val="0DC12923"/>
    <w:rsid w:val="0EFA5499"/>
    <w:rsid w:val="16455C87"/>
    <w:rsid w:val="1D123FCE"/>
    <w:rsid w:val="1D446F6E"/>
    <w:rsid w:val="2E006E47"/>
    <w:rsid w:val="324A2389"/>
    <w:rsid w:val="337E22EA"/>
    <w:rsid w:val="38D155B2"/>
    <w:rsid w:val="454821E5"/>
    <w:rsid w:val="49137521"/>
    <w:rsid w:val="496833C9"/>
    <w:rsid w:val="4B447E66"/>
    <w:rsid w:val="4F370F28"/>
    <w:rsid w:val="50BA5CC5"/>
    <w:rsid w:val="56142B6E"/>
    <w:rsid w:val="6678066D"/>
    <w:rsid w:val="672524C8"/>
    <w:rsid w:val="6AB20E1D"/>
    <w:rsid w:val="6FAD28ED"/>
    <w:rsid w:val="7A6B2F64"/>
    <w:rsid w:val="7CC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 w:line="360" w:lineRule="auto"/>
      <w:jc w:val="center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kern w:val="0"/>
      <w:sz w:val="18"/>
      <w:szCs w:val="24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</w:pPr>
    <w:rPr>
      <w:rFonts w:hint="default"/>
      <w:kern w:val="0"/>
      <w:sz w:val="1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封面项目名称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center"/>
    </w:pPr>
    <w:rPr>
      <w:rFonts w:hint="default" w:ascii="Times New Roman" w:hAnsi="Times New Roman" w:eastAsia="宋体" w:cs="宋体"/>
      <w:b/>
      <w:bCs/>
      <w:kern w:val="2"/>
      <w:sz w:val="44"/>
      <w:szCs w:val="44"/>
      <w:lang w:val="en-US" w:eastAsia="zh-CN" w:bidi="ar"/>
    </w:rPr>
  </w:style>
  <w:style w:type="character" w:customStyle="1" w:styleId="9">
    <w:name w:val="封面日期"/>
    <w:unhideWhenUsed/>
    <w:qFormat/>
    <w:uiPriority w:val="0"/>
    <w:rPr>
      <w:rFonts w:hint="default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2023-12-12T05:23:00Z</dcterms:created>
  <dc:creator>岁月如歌</dc:creator>
  <cp:lastModifiedBy>菇小凉</cp:lastModifiedBy>
  <cp:lastPrinted>2023-12-14T07:47:00Z</cp:lastPrinted>
  <dcterms:modified xsi:type="dcterms:W3CDTF">2023-12-14T08:03:32Z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A320C67C5D234F82B36B308DDCC45A5B_13</vt:lpwstr>
  </property>
</Properties>
</file>